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0583C954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69CF43F0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proofErr w:type="spellStart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</w:t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ού</w:t>
            </w:r>
            <w:proofErr w:type="spellEnd"/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</w:r>
            <w:r w:rsidR="002339F5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20B1364F" w14:textId="109AD51A" w:rsidR="00E13EBA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1EEDFB0C" w14:textId="2AC4C278" w:rsidR="00031B5E" w:rsidRDefault="00031B5E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7B764371" w:rsidR="00E13EBA" w:rsidRDefault="00E13EBA" w:rsidP="00E13EBA">
      <w:pPr>
        <w:overflowPunct/>
        <w:spacing w:after="0" w:line="240" w:lineRule="auto"/>
        <w:jc w:val="center"/>
        <w:rPr>
          <w:rFonts w:ascii="Ping LCG Regular" w:hAnsi="Ping LCG Regular"/>
          <w:b/>
          <w:bCs/>
          <w:sz w:val="22"/>
          <w:szCs w:val="22"/>
          <w:lang w:val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Pr="001F2F0E">
        <w:rPr>
          <w:rFonts w:ascii="Ping LCG Regular" w:hAnsi="Ping LCG Regular"/>
          <w:b/>
          <w:bCs/>
          <w:sz w:val="22"/>
          <w:szCs w:val="22"/>
        </w:rPr>
        <w:t>ΔΛ</w:t>
      </w:r>
      <w:r w:rsidR="002339F5">
        <w:rPr>
          <w:rFonts w:ascii="Ping LCG Regular" w:hAnsi="Ping LCG Regular"/>
          <w:b/>
          <w:bCs/>
          <w:sz w:val="22"/>
          <w:szCs w:val="22"/>
        </w:rPr>
        <w:t>ΚΜ</w:t>
      </w:r>
      <w:r w:rsidRPr="001F2F0E">
        <w:rPr>
          <w:rFonts w:ascii="Ping LCG Regular" w:hAnsi="Ping LCG Regular"/>
          <w:b/>
          <w:bCs/>
          <w:sz w:val="22"/>
          <w:szCs w:val="22"/>
        </w:rPr>
        <w:t>-</w:t>
      </w:r>
      <w:r w:rsidR="00031B5E">
        <w:rPr>
          <w:rFonts w:ascii="Ping LCG Regular" w:hAnsi="Ping LCG Regular"/>
          <w:b/>
          <w:bCs/>
          <w:sz w:val="22"/>
          <w:szCs w:val="22"/>
        </w:rPr>
        <w:t>23</w:t>
      </w:r>
      <w:bookmarkEnd w:id="0"/>
      <w:r w:rsidR="003A5A47">
        <w:rPr>
          <w:rFonts w:ascii="Ping LCG Regular" w:hAnsi="Ping LCG Regular"/>
          <w:b/>
          <w:bCs/>
          <w:sz w:val="22"/>
          <w:szCs w:val="22"/>
        </w:rPr>
        <w:t>1</w:t>
      </w:r>
      <w:r w:rsidR="0024607A">
        <w:rPr>
          <w:rFonts w:ascii="Ping LCG Regular" w:hAnsi="Ping LCG Regular"/>
          <w:b/>
          <w:bCs/>
          <w:sz w:val="22"/>
          <w:szCs w:val="22"/>
        </w:rPr>
        <w:t>3</w:t>
      </w:r>
      <w:r w:rsidR="008C0FB1">
        <w:rPr>
          <w:rFonts w:ascii="Ping LCG Regular" w:hAnsi="Ping LCG Regular"/>
          <w:b/>
          <w:bCs/>
          <w:sz w:val="22"/>
          <w:szCs w:val="22"/>
        </w:rPr>
        <w:t>6</w:t>
      </w:r>
      <w:r w:rsidR="002B484A">
        <w:rPr>
          <w:rFonts w:ascii="Ping LCG Regular" w:hAnsi="Ping LCG Regular"/>
          <w:b/>
          <w:bCs/>
          <w:sz w:val="22"/>
          <w:szCs w:val="22"/>
          <w:lang w:val="en-US"/>
        </w:rPr>
        <w:t xml:space="preserve"> </w:t>
      </w:r>
    </w:p>
    <w:p w14:paraId="03063ED7" w14:textId="337C4B07" w:rsidR="002B484A" w:rsidRPr="002B484A" w:rsidRDefault="002B484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u w:val="single"/>
          <w:lang w:eastAsia="en-US"/>
        </w:rPr>
      </w:pPr>
      <w:r w:rsidRPr="002B484A">
        <w:rPr>
          <w:rFonts w:ascii="Ping LCG Regular" w:hAnsi="Ping LCG Regular"/>
          <w:b/>
          <w:bCs/>
          <w:sz w:val="22"/>
          <w:szCs w:val="22"/>
          <w:u w:val="single"/>
        </w:rPr>
        <w:t>ΕΠΑΝΑΛΗΨΗ Νο1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703A7D3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3334A2D4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A70270" w:rsidRPr="001F2F0E">
        <w:rPr>
          <w:rFonts w:ascii="Ping LCG Regular" w:hAnsi="Ping LCG Regular"/>
          <w:b/>
          <w:bCs/>
          <w:sz w:val="20"/>
        </w:rPr>
        <w:t>ΔΛ</w:t>
      </w:r>
      <w:r w:rsidR="00C036AE">
        <w:rPr>
          <w:rFonts w:ascii="Ping LCG Regular" w:hAnsi="Ping LCG Regular"/>
          <w:b/>
          <w:bCs/>
          <w:sz w:val="20"/>
        </w:rPr>
        <w:t>ΚΜ</w:t>
      </w:r>
      <w:r w:rsidR="00A70270" w:rsidRPr="001F2F0E">
        <w:rPr>
          <w:rFonts w:ascii="Ping LCG Regular" w:hAnsi="Ping LCG Regular"/>
          <w:b/>
          <w:bCs/>
          <w:sz w:val="20"/>
        </w:rPr>
        <w:t>-</w:t>
      </w:r>
      <w:r w:rsidR="00031B5E">
        <w:rPr>
          <w:rFonts w:ascii="Ping LCG Regular" w:hAnsi="Ping LCG Regular"/>
          <w:b/>
          <w:bCs/>
          <w:sz w:val="20"/>
        </w:rPr>
        <w:t>23</w:t>
      </w:r>
      <w:r w:rsidR="003A5A47">
        <w:rPr>
          <w:rFonts w:ascii="Ping LCG Regular" w:hAnsi="Ping LCG Regular"/>
          <w:b/>
          <w:bCs/>
          <w:sz w:val="20"/>
        </w:rPr>
        <w:t>1</w:t>
      </w:r>
      <w:r w:rsidR="0024607A">
        <w:rPr>
          <w:rFonts w:ascii="Ping LCG Regular" w:hAnsi="Ping LCG Regular"/>
          <w:b/>
          <w:bCs/>
          <w:sz w:val="20"/>
        </w:rPr>
        <w:t>3</w:t>
      </w:r>
      <w:r w:rsidR="008C0FB1">
        <w:rPr>
          <w:rFonts w:ascii="Ping LCG Regular" w:hAnsi="Ping LCG Regular"/>
          <w:b/>
          <w:bCs/>
          <w:sz w:val="20"/>
        </w:rPr>
        <w:t>6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7A684049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8C0FB1">
        <w:rPr>
          <w:rFonts w:ascii="Ping LCG Regular" w:hAnsi="Ping LCG Regular" w:cs="Verdana,Bold"/>
          <w:b/>
          <w:sz w:val="22"/>
          <w:szCs w:val="22"/>
          <w:lang w:eastAsia="en-US"/>
        </w:rPr>
        <w:t>ΕΡΓΑΛΕΙΑ ΧΕΙΡΟΣ-ΥΔΡΑΥΛΙΚΑ ΕΞΑΡΤΗΜΑΤΑ</w:t>
      </w:r>
      <w:r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42559B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507F44C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8C0FB1">
        <w:rPr>
          <w:rFonts w:ascii="Ping LCG Regular" w:hAnsi="Ping LCG Regular"/>
          <w:b/>
          <w:bCs/>
          <w:sz w:val="20"/>
        </w:rPr>
        <w:t>3.703,74</w:t>
      </w:r>
      <w:r w:rsidRPr="00D54932">
        <w:rPr>
          <w:rFonts w:ascii="Ping LCG Regular" w:hAnsi="Ping LCG Regular"/>
          <w:b/>
          <w:bCs/>
          <w:sz w:val="20"/>
        </w:rPr>
        <w:t xml:space="preserve"> </w:t>
      </w:r>
      <w:r w:rsidRPr="00D54932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 ανώτατο όριο προσφοράς.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717BF889" w14:textId="06C9DF2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</w:t>
      </w:r>
      <w:r w:rsidR="00E24881" w:rsidRPr="00E24881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="00E24881">
        <w:rPr>
          <w:rFonts w:ascii="Ping LCG Regular" w:eastAsiaTheme="minorHAnsi" w:hAnsi="Ping LCG Regular" w:cs="Calibri"/>
          <w:sz w:val="20"/>
          <w:lang w:eastAsia="en-US"/>
        </w:rPr>
        <w:t>ανά είδος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15DBB1EE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210840AB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0915F3" w:rsidRPr="000915F3">
        <w:rPr>
          <w:rFonts w:ascii="Ping LCG Regular" w:eastAsiaTheme="minorHAnsi" w:hAnsi="Ping LCG Regular" w:cs="Calibri"/>
          <w:b/>
          <w:bCs/>
          <w:sz w:val="20"/>
          <w:lang w:eastAsia="en-US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91495">
        <w:rPr>
          <w:rFonts w:ascii="Ping LCG Regular" w:hAnsi="Ping LCG Regular"/>
          <w:b/>
          <w:bCs/>
          <w:sz w:val="20"/>
        </w:rPr>
        <w:t xml:space="preserve"> </w:t>
      </w:r>
      <w:r w:rsidR="00840B6D">
        <w:rPr>
          <w:rFonts w:ascii="Ping LCG Regular" w:hAnsi="Ping LCG Regular"/>
          <w:b/>
          <w:bCs/>
          <w:sz w:val="20"/>
        </w:rPr>
        <w:t>1</w:t>
      </w:r>
      <w:r w:rsidR="000915F3" w:rsidRPr="000915F3">
        <w:rPr>
          <w:rFonts w:ascii="Ping LCG Regular" w:hAnsi="Ping LCG Regular"/>
          <w:b/>
          <w:bCs/>
          <w:sz w:val="20"/>
        </w:rPr>
        <w:t>2</w:t>
      </w:r>
      <w:r w:rsidR="0006446F" w:rsidRPr="001F2F0E">
        <w:rPr>
          <w:rFonts w:ascii="Ping LCG Regular" w:hAnsi="Ping LCG Regular"/>
          <w:b/>
          <w:bCs/>
          <w:sz w:val="20"/>
        </w:rPr>
        <w:t>/</w:t>
      </w:r>
      <w:r w:rsidR="000915F3" w:rsidRPr="000915F3">
        <w:rPr>
          <w:rFonts w:ascii="Ping LCG Regular" w:hAnsi="Ping LCG Regular"/>
          <w:b/>
          <w:bCs/>
          <w:sz w:val="20"/>
        </w:rPr>
        <w:t>10</w:t>
      </w:r>
      <w:r w:rsidR="0006446F" w:rsidRPr="001F2F0E">
        <w:rPr>
          <w:rFonts w:ascii="Ping LCG Regular" w:hAnsi="Ping LCG Regular"/>
          <w:b/>
          <w:bCs/>
          <w:sz w:val="20"/>
        </w:rPr>
        <w:t>/202</w:t>
      </w:r>
      <w:r w:rsidR="000A1188">
        <w:rPr>
          <w:rFonts w:ascii="Ping LCG Regular" w:hAnsi="Ping LCG Regular"/>
          <w:b/>
          <w:bCs/>
          <w:sz w:val="20"/>
        </w:rPr>
        <w:t>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11:00.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33B11D57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="006E4C98">
        <w:rPr>
          <w:rFonts w:ascii="Ping LCG Regular" w:eastAsiaTheme="minorHAnsi" w:hAnsi="Ping LCG Regular" w:cs="Calibri"/>
          <w:sz w:val="20"/>
          <w:lang w:val="en-US" w:eastAsia="en-US"/>
        </w:rPr>
        <w:t>C</w:t>
      </w:r>
      <w:r w:rsidR="00CA26C5">
        <w:rPr>
          <w:rFonts w:ascii="Ping LCG Regular" w:eastAsiaTheme="minorHAnsi" w:hAnsi="Ping LCG Regular" w:cs="Calibri"/>
          <w:sz w:val="20"/>
          <w:lang w:val="en-US" w:eastAsia="en-US"/>
        </w:rPr>
        <w:t>om</w:t>
      </w:r>
      <w:r w:rsidR="0029497D">
        <w:rPr>
          <w:rFonts w:ascii="Ping LCG Regular" w:eastAsiaTheme="minorHAnsi" w:hAnsi="Ping LCG Regular" w:cs="Calibri"/>
          <w:sz w:val="20"/>
          <w:lang w:val="en-US" w:eastAsia="en-US"/>
        </w:rPr>
        <w:t>pare</w:t>
      </w:r>
      <w:r w:rsidR="005E5F20">
        <w:rPr>
          <w:rFonts w:ascii="Ping LCG Regular" w:eastAsiaTheme="minorHAnsi" w:hAnsi="Ping LCG Regular" w:cs="Calibri"/>
          <w:sz w:val="20"/>
          <w:lang w:val="en-US" w:eastAsia="en-US"/>
        </w:rPr>
        <w:t>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2F20F" w14:textId="77777777" w:rsidR="003D7D21" w:rsidRDefault="003D7D21" w:rsidP="00A657D8">
      <w:pPr>
        <w:spacing w:after="0" w:line="240" w:lineRule="auto"/>
      </w:pPr>
      <w:r>
        <w:separator/>
      </w:r>
    </w:p>
  </w:endnote>
  <w:endnote w:type="continuationSeparator" w:id="0">
    <w:p w14:paraId="02790B1C" w14:textId="77777777" w:rsidR="003D7D21" w:rsidRDefault="003D7D21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Ping LCG Regular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Verdana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7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BAD9D" w14:textId="77777777" w:rsidR="003D7D21" w:rsidRDefault="003D7D21" w:rsidP="00A657D8">
      <w:pPr>
        <w:spacing w:after="0" w:line="240" w:lineRule="auto"/>
      </w:pPr>
      <w:r>
        <w:separator/>
      </w:r>
    </w:p>
  </w:footnote>
  <w:footnote w:type="continuationSeparator" w:id="0">
    <w:p w14:paraId="76E7B376" w14:textId="77777777" w:rsidR="003D7D21" w:rsidRDefault="003D7D21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EBA"/>
    <w:rsid w:val="00031B5E"/>
    <w:rsid w:val="0006446F"/>
    <w:rsid w:val="000701EE"/>
    <w:rsid w:val="0008684F"/>
    <w:rsid w:val="000915F3"/>
    <w:rsid w:val="000A1188"/>
    <w:rsid w:val="000E3440"/>
    <w:rsid w:val="000E364B"/>
    <w:rsid w:val="00101E87"/>
    <w:rsid w:val="00126BF5"/>
    <w:rsid w:val="001740D5"/>
    <w:rsid w:val="00174C39"/>
    <w:rsid w:val="001773C1"/>
    <w:rsid w:val="00184D78"/>
    <w:rsid w:val="0019630B"/>
    <w:rsid w:val="001D053E"/>
    <w:rsid w:val="001F2F0E"/>
    <w:rsid w:val="001F509E"/>
    <w:rsid w:val="002339F5"/>
    <w:rsid w:val="0024607A"/>
    <w:rsid w:val="00255265"/>
    <w:rsid w:val="002555D5"/>
    <w:rsid w:val="002667E8"/>
    <w:rsid w:val="00266CAB"/>
    <w:rsid w:val="00272BD7"/>
    <w:rsid w:val="0029497D"/>
    <w:rsid w:val="002B484A"/>
    <w:rsid w:val="002D019A"/>
    <w:rsid w:val="003308D3"/>
    <w:rsid w:val="00363092"/>
    <w:rsid w:val="00365542"/>
    <w:rsid w:val="00374889"/>
    <w:rsid w:val="003A14C4"/>
    <w:rsid w:val="003A5A47"/>
    <w:rsid w:val="003C3EA1"/>
    <w:rsid w:val="003C7417"/>
    <w:rsid w:val="003D7D21"/>
    <w:rsid w:val="003E75D2"/>
    <w:rsid w:val="00407CDB"/>
    <w:rsid w:val="0042559B"/>
    <w:rsid w:val="00456821"/>
    <w:rsid w:val="004711E2"/>
    <w:rsid w:val="004B0F84"/>
    <w:rsid w:val="004F061F"/>
    <w:rsid w:val="004F1B15"/>
    <w:rsid w:val="00515592"/>
    <w:rsid w:val="005364F1"/>
    <w:rsid w:val="00573808"/>
    <w:rsid w:val="00595EB0"/>
    <w:rsid w:val="005A5478"/>
    <w:rsid w:val="005E5F20"/>
    <w:rsid w:val="005F6779"/>
    <w:rsid w:val="005F6BF9"/>
    <w:rsid w:val="006061CB"/>
    <w:rsid w:val="00635022"/>
    <w:rsid w:val="006356A8"/>
    <w:rsid w:val="00672926"/>
    <w:rsid w:val="00672F4D"/>
    <w:rsid w:val="0067566E"/>
    <w:rsid w:val="0067731E"/>
    <w:rsid w:val="00682F70"/>
    <w:rsid w:val="006A0650"/>
    <w:rsid w:val="006A7524"/>
    <w:rsid w:val="006B18FE"/>
    <w:rsid w:val="006B6BB9"/>
    <w:rsid w:val="006B768E"/>
    <w:rsid w:val="006C402E"/>
    <w:rsid w:val="006D1499"/>
    <w:rsid w:val="006E4C98"/>
    <w:rsid w:val="006F3B2D"/>
    <w:rsid w:val="00705F67"/>
    <w:rsid w:val="00721107"/>
    <w:rsid w:val="00760200"/>
    <w:rsid w:val="0077644D"/>
    <w:rsid w:val="007A09F7"/>
    <w:rsid w:val="007B1098"/>
    <w:rsid w:val="007D02DA"/>
    <w:rsid w:val="00823D17"/>
    <w:rsid w:val="008256D1"/>
    <w:rsid w:val="00840B6D"/>
    <w:rsid w:val="008467DA"/>
    <w:rsid w:val="00891495"/>
    <w:rsid w:val="008C0FB1"/>
    <w:rsid w:val="008F5C47"/>
    <w:rsid w:val="009118E9"/>
    <w:rsid w:val="009539D2"/>
    <w:rsid w:val="00957CC9"/>
    <w:rsid w:val="00960E06"/>
    <w:rsid w:val="00994F61"/>
    <w:rsid w:val="00A1302E"/>
    <w:rsid w:val="00A343DA"/>
    <w:rsid w:val="00A3455B"/>
    <w:rsid w:val="00A5124C"/>
    <w:rsid w:val="00A53E50"/>
    <w:rsid w:val="00A657D8"/>
    <w:rsid w:val="00A70270"/>
    <w:rsid w:val="00AA5782"/>
    <w:rsid w:val="00AB421F"/>
    <w:rsid w:val="00AD5C34"/>
    <w:rsid w:val="00AD6738"/>
    <w:rsid w:val="00B02A18"/>
    <w:rsid w:val="00B87EA3"/>
    <w:rsid w:val="00B9302E"/>
    <w:rsid w:val="00BA5904"/>
    <w:rsid w:val="00BF535D"/>
    <w:rsid w:val="00C036AE"/>
    <w:rsid w:val="00C17437"/>
    <w:rsid w:val="00C236D2"/>
    <w:rsid w:val="00C34877"/>
    <w:rsid w:val="00C4159E"/>
    <w:rsid w:val="00C45602"/>
    <w:rsid w:val="00C60182"/>
    <w:rsid w:val="00C909A9"/>
    <w:rsid w:val="00CA26C5"/>
    <w:rsid w:val="00CA3D45"/>
    <w:rsid w:val="00CE47C6"/>
    <w:rsid w:val="00CE5B92"/>
    <w:rsid w:val="00D0022A"/>
    <w:rsid w:val="00D0187D"/>
    <w:rsid w:val="00D03B0E"/>
    <w:rsid w:val="00D21678"/>
    <w:rsid w:val="00D54932"/>
    <w:rsid w:val="00DB5D52"/>
    <w:rsid w:val="00DC4875"/>
    <w:rsid w:val="00DC6AD2"/>
    <w:rsid w:val="00DE6C7B"/>
    <w:rsid w:val="00DF326D"/>
    <w:rsid w:val="00DF36D6"/>
    <w:rsid w:val="00E00B16"/>
    <w:rsid w:val="00E13EBA"/>
    <w:rsid w:val="00E24881"/>
    <w:rsid w:val="00E30E08"/>
    <w:rsid w:val="00E43857"/>
    <w:rsid w:val="00E50410"/>
    <w:rsid w:val="00EA3FEE"/>
    <w:rsid w:val="00EC1871"/>
    <w:rsid w:val="00EC2B84"/>
    <w:rsid w:val="00ED7F5F"/>
    <w:rsid w:val="00F14A27"/>
    <w:rsid w:val="00F16CE6"/>
    <w:rsid w:val="00F23712"/>
    <w:rsid w:val="00F26946"/>
    <w:rsid w:val="00F33A96"/>
    <w:rsid w:val="00F52069"/>
    <w:rsid w:val="00F77172"/>
    <w:rsid w:val="00F835CA"/>
    <w:rsid w:val="00FB4235"/>
    <w:rsid w:val="00FD01F9"/>
    <w:rsid w:val="00FD09B6"/>
    <w:rsid w:val="00FD32B4"/>
    <w:rsid w:val="00FF2CF0"/>
    <w:rsid w:val="00FF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6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7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1" ma:contentTypeDescription="Δημιουργία νέου εγγράφου" ma:contentTypeScope="" ma:versionID="ab4f48d0b2be4312843547ca665fd84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f2d94b871ec0c0efb011883ffc9f2c0b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A61B0-4CD4-405A-AD91-680567AD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Karachaliou Sofia-Maria</cp:lastModifiedBy>
  <cp:revision>2</cp:revision>
  <cp:lastPrinted>2023-09-06T05:05:00Z</cp:lastPrinted>
  <dcterms:created xsi:type="dcterms:W3CDTF">2023-10-03T05:06:00Z</dcterms:created>
  <dcterms:modified xsi:type="dcterms:W3CDTF">2023-10-03T05:06:00Z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